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8D33C" w14:textId="70383D8D" w:rsidR="003C07FF" w:rsidRDefault="00403FBE">
      <w:pPr>
        <w:autoSpaceDE w:val="0"/>
        <w:autoSpaceDN w:val="0"/>
        <w:adjustRightInd w:val="0"/>
        <w:spacing w:after="160" w:line="259" w:lineRule="atLeast"/>
        <w:ind w:firstLine="708"/>
        <w:jc w:val="both"/>
        <w:rPr>
          <w:rFonts w:ascii="Calibri" w:hAnsi="Calibri"/>
          <w:sz w:val="22"/>
          <w:szCs w:val="22"/>
        </w:rPr>
      </w:pPr>
      <w:r>
        <w:rPr>
          <w:rFonts w:ascii="Calibri" w:hAnsi="Calibri"/>
          <w:noProof/>
          <w:sz w:val="22"/>
          <w:szCs w:val="22"/>
        </w:rPr>
        <w:drawing>
          <wp:inline distT="0" distB="0" distL="0" distR="0" wp14:anchorId="28824A4E" wp14:editId="0B1CF038">
            <wp:extent cx="1495425"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590550"/>
                    </a:xfrm>
                    <a:prstGeom prst="rect">
                      <a:avLst/>
                    </a:prstGeom>
                    <a:noFill/>
                    <a:ln>
                      <a:noFill/>
                    </a:ln>
                  </pic:spPr>
                </pic:pic>
              </a:graphicData>
            </a:graphic>
          </wp:inline>
        </w:drawing>
      </w:r>
    </w:p>
    <w:p w14:paraId="05CC68B0" w14:textId="77777777" w:rsidR="003C07FF" w:rsidRDefault="003C07FF">
      <w:pPr>
        <w:autoSpaceDE w:val="0"/>
        <w:autoSpaceDN w:val="0"/>
        <w:adjustRightInd w:val="0"/>
        <w:spacing w:after="160" w:line="259" w:lineRule="atLeast"/>
        <w:ind w:firstLine="708"/>
        <w:jc w:val="both"/>
        <w:rPr>
          <w:rFonts w:ascii="Calibri" w:hAnsi="Calibri"/>
          <w:sz w:val="22"/>
          <w:szCs w:val="22"/>
        </w:rPr>
      </w:pPr>
    </w:p>
    <w:p w14:paraId="0DD8CAC8" w14:textId="2C25FDE1" w:rsidR="003C07FF" w:rsidRDefault="00403FBE">
      <w:pPr>
        <w:autoSpaceDE w:val="0"/>
        <w:autoSpaceDN w:val="0"/>
        <w:adjustRightInd w:val="0"/>
        <w:spacing w:after="160" w:line="259" w:lineRule="atLeast"/>
        <w:ind w:firstLine="708"/>
        <w:jc w:val="both"/>
        <w:rPr>
          <w:rFonts w:ascii="Calibri" w:hAnsi="Calibri"/>
          <w:sz w:val="22"/>
          <w:szCs w:val="22"/>
        </w:rPr>
        <w:sectPr w:rsidR="003C07FF">
          <w:pgSz w:w="12240" w:h="15840"/>
          <w:pgMar w:top="1417" w:right="1701" w:bottom="1417" w:left="1701" w:header="720" w:footer="720" w:gutter="0"/>
          <w:cols w:num="2" w:space="720" w:equalWidth="0">
            <w:col w:w="4065" w:space="708"/>
            <w:col w:w="4065"/>
          </w:cols>
          <w:noEndnote/>
        </w:sectPr>
      </w:pPr>
      <w:r>
        <w:rPr>
          <w:rFonts w:ascii="Calibri" w:hAnsi="Calibri"/>
          <w:noProof/>
          <w:sz w:val="22"/>
          <w:szCs w:val="22"/>
        </w:rPr>
        <w:drawing>
          <wp:inline distT="0" distB="0" distL="0" distR="0" wp14:anchorId="2969667B" wp14:editId="69E25D66">
            <wp:extent cx="1952625" cy="5810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581025"/>
                    </a:xfrm>
                    <a:prstGeom prst="rect">
                      <a:avLst/>
                    </a:prstGeom>
                    <a:noFill/>
                    <a:ln>
                      <a:noFill/>
                    </a:ln>
                  </pic:spPr>
                </pic:pic>
              </a:graphicData>
            </a:graphic>
          </wp:inline>
        </w:drawing>
      </w:r>
    </w:p>
    <w:p w14:paraId="50E81FE4" w14:textId="77777777" w:rsidR="00976AAE" w:rsidRPr="00976AAE" w:rsidRDefault="00976AAE" w:rsidP="00976AAE">
      <w:pPr>
        <w:pStyle w:val="Sangradetextonormal"/>
        <w:rPr>
          <w:b/>
          <w:sz w:val="24"/>
          <w:szCs w:val="24"/>
        </w:rPr>
      </w:pPr>
      <w:r w:rsidRPr="00976AAE">
        <w:rPr>
          <w:b/>
          <w:sz w:val="24"/>
          <w:szCs w:val="24"/>
        </w:rPr>
        <w:t>A LA MESA DE LA COMISIÓN ESPECIAL NO PERMANENTE PARA EL ESTUDIO Y SEGUIMIENTO DE LA SITUACIÓN DERIVADA DE LA CRISIS DEL CORONAVIRUS (COVID-19)</w:t>
      </w:r>
    </w:p>
    <w:p w14:paraId="741C415F" w14:textId="77777777" w:rsidR="00976AAE" w:rsidRDefault="00976AAE">
      <w:pPr>
        <w:pStyle w:val="Sangradetextonormal"/>
        <w:rPr>
          <w:sz w:val="24"/>
          <w:szCs w:val="24"/>
        </w:rPr>
      </w:pPr>
    </w:p>
    <w:p w14:paraId="7B04C7A7" w14:textId="77777777" w:rsidR="00976AAE" w:rsidRPr="00895C82" w:rsidRDefault="00895C82">
      <w:pPr>
        <w:pStyle w:val="Sangradetextonormal"/>
        <w:rPr>
          <w:sz w:val="24"/>
          <w:szCs w:val="24"/>
        </w:rPr>
      </w:pPr>
      <w:r w:rsidRPr="00895C82">
        <w:rPr>
          <w:sz w:val="24"/>
          <w:szCs w:val="24"/>
        </w:rPr>
        <w:t>El Grupo Parlamentario Ciudadanos, en virtud del presente escrito y al amparo de lo establecido en los artículos 176 y siguientes del vigente Reglamento de la Cámara fórmula la siguiente PROPOSICIÓN NO DE LEY para su debate y aprobación</w:t>
      </w:r>
      <w:r w:rsidR="00976AAE">
        <w:rPr>
          <w:sz w:val="24"/>
          <w:szCs w:val="24"/>
        </w:rPr>
        <w:t xml:space="preserve"> en la Comisión Especial No Permanente para el estudio y seguimiento de la situación derivada de la crisis del coronavirus (Covid-19)</w:t>
      </w:r>
    </w:p>
    <w:p w14:paraId="016C5279" w14:textId="77777777" w:rsidR="003C07FF" w:rsidRPr="00895C82" w:rsidRDefault="00895C82">
      <w:pPr>
        <w:pStyle w:val="Ttulo1"/>
        <w:rPr>
          <w:rFonts w:cs="Calibri"/>
          <w:sz w:val="24"/>
          <w:szCs w:val="24"/>
        </w:rPr>
      </w:pPr>
      <w:r w:rsidRPr="00895C82">
        <w:rPr>
          <w:rFonts w:cs="Calibri"/>
          <w:sz w:val="24"/>
          <w:szCs w:val="24"/>
        </w:rPr>
        <w:t>EXPOSICIÓN DE MOTIVOS</w:t>
      </w:r>
    </w:p>
    <w:p w14:paraId="33A4A8BA" w14:textId="77777777" w:rsidR="00D7560A" w:rsidRPr="00D7560A" w:rsidRDefault="00D7560A" w:rsidP="00D7560A">
      <w:pPr>
        <w:pStyle w:val="NormalWeb"/>
        <w:jc w:val="both"/>
        <w:rPr>
          <w:rFonts w:asciiTheme="minorHAnsi" w:hAnsiTheme="minorHAnsi" w:cs="Arial"/>
          <w:color w:val="000000"/>
        </w:rPr>
      </w:pPr>
      <w:r w:rsidRPr="00D7560A">
        <w:rPr>
          <w:rFonts w:asciiTheme="minorHAnsi" w:hAnsiTheme="minorHAnsi" w:cs="Arial"/>
          <w:color w:val="000000"/>
        </w:rPr>
        <w:t xml:space="preserve">La sociedad española y el conjunto de las instituciones públicas se enfrentan a un reto sin precedentes, teniendo que actuar para dar una respuesta paliativa y efectiva a la grave situación de crisis sanitaria y económica derivada de los efectos de la pandemia de COVID 19 en nuestro país. </w:t>
      </w:r>
    </w:p>
    <w:p w14:paraId="4EE9A6F6" w14:textId="77777777" w:rsidR="00D7560A" w:rsidRPr="00D7560A" w:rsidRDefault="00D7560A" w:rsidP="00D7560A">
      <w:pPr>
        <w:pStyle w:val="NormalWeb"/>
        <w:jc w:val="both"/>
        <w:rPr>
          <w:rFonts w:asciiTheme="minorHAnsi" w:hAnsiTheme="minorHAnsi" w:cs="Arial"/>
          <w:color w:val="000000"/>
        </w:rPr>
      </w:pPr>
      <w:r w:rsidRPr="00D7560A">
        <w:rPr>
          <w:rFonts w:asciiTheme="minorHAnsi" w:hAnsiTheme="minorHAnsi" w:cs="Arial"/>
          <w:color w:val="000000"/>
        </w:rPr>
        <w:t>La ciudadanía requiere en estos momentos de máxima dificultad, incertidumbre y  vulnerabilidad, que las instituciones y sus representantes estén a la altura de las circunstancias, tanto en la toma de decisiones, como en la gestión de todos los medios y recursos económicos, materiales y personales a su alcance en  distintos ámbitos; sanitario, educativo, empresarial, de seguridad, alimentario, científico y tecnológico........con el fin de salvar vidas, evitar nuevos contagios y mitigar los devastadores efectos que la parálisis de actividad productiva están afectando y afectarán a la economía del país y por tanto de las familias.</w:t>
      </w:r>
    </w:p>
    <w:p w14:paraId="74B703F8" w14:textId="721AC014" w:rsidR="00D7560A" w:rsidRPr="00D7560A" w:rsidRDefault="00D7560A" w:rsidP="00D7560A">
      <w:pPr>
        <w:pStyle w:val="NormalWeb"/>
        <w:jc w:val="both"/>
        <w:rPr>
          <w:rFonts w:asciiTheme="minorHAnsi" w:hAnsiTheme="minorHAnsi" w:cs="Arial"/>
          <w:color w:val="000000"/>
        </w:rPr>
      </w:pPr>
      <w:r w:rsidRPr="00D7560A">
        <w:rPr>
          <w:rFonts w:asciiTheme="minorHAnsi" w:hAnsiTheme="minorHAnsi" w:cs="Arial"/>
          <w:color w:val="000000"/>
        </w:rPr>
        <w:t xml:space="preserve">Todas las administraciones públicas en sus distintos niveles tienen sus competencias y responsabilidades ante esta crisis, pero son las administraciones locales como los ayuntamientos, los que más de cerca y de forma directa se han visto involucrados y  en la necesidad de dar una respuesta de intervención lo más inmediata posible ante las situaciones, problemas y necesidades que iban surgiendo a cada momento desde que el COVID 19 recaló en sus municipios. </w:t>
      </w:r>
    </w:p>
    <w:p w14:paraId="2C202619" w14:textId="0747B429" w:rsidR="00976AAE" w:rsidRDefault="00D7560A" w:rsidP="00D7560A">
      <w:pPr>
        <w:pStyle w:val="NormalWeb"/>
        <w:jc w:val="both"/>
        <w:rPr>
          <w:rFonts w:asciiTheme="minorHAnsi" w:hAnsiTheme="minorHAnsi" w:cs="Arial"/>
          <w:color w:val="000000"/>
        </w:rPr>
      </w:pPr>
      <w:r w:rsidRPr="00D7560A">
        <w:rPr>
          <w:rFonts w:asciiTheme="minorHAnsi" w:hAnsiTheme="minorHAnsi" w:cs="Arial"/>
          <w:color w:val="000000"/>
        </w:rPr>
        <w:t xml:space="preserve">Los ayuntamientos han sido y están siendo cruciales, así como la primera línea de contención, apoyo y ayuda no solamente hacia sus vecinos, sino realizando intervenciones de desinfección y entrega de recursos de `protección a comercios, profesionales de los centros de salud, agentes de los cuerpos de seguridad de la guardia Civil y policía nacional, protección civil, residencias, poniendo a disposición todos los recursos personales y materiales a su alcance. </w:t>
      </w:r>
    </w:p>
    <w:p w14:paraId="68626139" w14:textId="77777777" w:rsidR="00D7560A" w:rsidRPr="00D7560A" w:rsidRDefault="00D7560A" w:rsidP="00D7560A">
      <w:pPr>
        <w:pStyle w:val="NormalWeb"/>
        <w:jc w:val="both"/>
        <w:rPr>
          <w:rFonts w:asciiTheme="minorHAnsi" w:hAnsiTheme="minorHAnsi" w:cs="Arial"/>
          <w:color w:val="000000"/>
        </w:rPr>
      </w:pPr>
      <w:r w:rsidRPr="00D7560A">
        <w:rPr>
          <w:rFonts w:asciiTheme="minorHAnsi" w:hAnsiTheme="minorHAnsi" w:cs="Arial"/>
          <w:color w:val="000000"/>
        </w:rPr>
        <w:lastRenderedPageBreak/>
        <w:t>Estas y otras intervenciones, han supuesto que tengan que realizar un esfuerzo presupuestario que no tenían contemplado, ya sea por los costes en actuaciones hasta ahora efectuadas, como las que seguirán llevando a cabo mientras dure esta crisis sanitaria y económica, así como por los ingresos previstos y que no tendrán ya que han habilitado o habilitarán mecanismos fiscales para bonificación o exención de impuestos destinado a las familias y sectores que más lo necesiten.</w:t>
      </w:r>
    </w:p>
    <w:p w14:paraId="2138C73D" w14:textId="77777777" w:rsidR="00D7560A" w:rsidRPr="00D7560A" w:rsidRDefault="00D7560A" w:rsidP="00D7560A">
      <w:pPr>
        <w:pStyle w:val="NormalWeb"/>
        <w:jc w:val="both"/>
        <w:rPr>
          <w:rFonts w:asciiTheme="minorHAnsi" w:hAnsiTheme="minorHAnsi" w:cs="Arial"/>
          <w:color w:val="000000"/>
        </w:rPr>
      </w:pPr>
      <w:r w:rsidRPr="00D7560A">
        <w:rPr>
          <w:rFonts w:asciiTheme="minorHAnsi" w:hAnsiTheme="minorHAnsi" w:cs="Arial"/>
          <w:color w:val="000000"/>
        </w:rPr>
        <w:t xml:space="preserve">Por ello, es necesario en esta situación de excepcionalidad, que tanto el Fondo de Cooperación Municipal, recogido en los presupuestos generales de Cantabria como recurso necesario para apoyar el esfuerzo presupuestario de las entidades locales para prestar los servicios básicos y esenciales, así como la utilización del superávit municipal, deban modificarse y adaptarse a la realidad a la que están haciendo frente los ayuntamientos, ya que en caso de no ser así, supondría poner en riesgo la viabilidad en la prestación de los servicios. </w:t>
      </w:r>
    </w:p>
    <w:p w14:paraId="1A40287C" w14:textId="77777777" w:rsidR="00883811" w:rsidRPr="00895C82" w:rsidRDefault="00883811">
      <w:pPr>
        <w:jc w:val="both"/>
        <w:rPr>
          <w:rFonts w:ascii="Calibri" w:hAnsi="Calibri" w:cs="Calibri"/>
        </w:rPr>
      </w:pPr>
    </w:p>
    <w:p w14:paraId="2A5DCECD" w14:textId="77777777" w:rsidR="003C07FF" w:rsidRPr="00895C82" w:rsidRDefault="00895C82">
      <w:pPr>
        <w:autoSpaceDE w:val="0"/>
        <w:autoSpaceDN w:val="0"/>
        <w:adjustRightInd w:val="0"/>
        <w:spacing w:after="160" w:line="259" w:lineRule="atLeast"/>
        <w:jc w:val="both"/>
        <w:rPr>
          <w:rFonts w:ascii="Calibri" w:hAnsi="Calibri" w:cs="Calibri"/>
        </w:rPr>
      </w:pPr>
      <w:r w:rsidRPr="00895C82">
        <w:rPr>
          <w:rFonts w:ascii="Calibri" w:hAnsi="Calibri" w:cs="Calibri"/>
        </w:rPr>
        <w:t xml:space="preserve">Por lo expuesto, se presenta la siguiente </w:t>
      </w:r>
      <w:r w:rsidRPr="00895C82">
        <w:rPr>
          <w:rFonts w:ascii="Calibri" w:hAnsi="Calibri" w:cs="Calibri"/>
          <w:b/>
          <w:bCs/>
        </w:rPr>
        <w:t>PROPUESTA DE RESOLUCIÓN</w:t>
      </w:r>
      <w:r w:rsidRPr="00895C82">
        <w:rPr>
          <w:rFonts w:ascii="Calibri" w:hAnsi="Calibri" w:cs="Calibri"/>
        </w:rPr>
        <w:t>:</w:t>
      </w:r>
    </w:p>
    <w:p w14:paraId="6BD35953" w14:textId="77777777" w:rsidR="003C07FF" w:rsidRPr="00895C82" w:rsidRDefault="003C07FF">
      <w:pPr>
        <w:autoSpaceDE w:val="0"/>
        <w:autoSpaceDN w:val="0"/>
        <w:adjustRightInd w:val="0"/>
        <w:spacing w:after="160" w:line="259" w:lineRule="atLeast"/>
        <w:jc w:val="both"/>
        <w:rPr>
          <w:rFonts w:ascii="Calibri" w:hAnsi="Calibri" w:cs="Calibri"/>
        </w:rPr>
      </w:pPr>
    </w:p>
    <w:p w14:paraId="2616B09A" w14:textId="77777777" w:rsidR="003C07FF" w:rsidRPr="00895C82" w:rsidRDefault="00895C82">
      <w:pPr>
        <w:jc w:val="both"/>
        <w:rPr>
          <w:rFonts w:ascii="Calibri" w:hAnsi="Calibri" w:cs="Calibri"/>
        </w:rPr>
      </w:pPr>
      <w:r w:rsidRPr="00895C82">
        <w:rPr>
          <w:rFonts w:ascii="Calibri" w:hAnsi="Calibri" w:cs="Calibri"/>
        </w:rPr>
        <w:t>El Parlamento insta al Gobierno de Cantabria a:</w:t>
      </w:r>
    </w:p>
    <w:p w14:paraId="4F81C9B4" w14:textId="77777777" w:rsidR="003C07FF" w:rsidRPr="00895C82" w:rsidRDefault="003C07FF">
      <w:pPr>
        <w:jc w:val="both"/>
        <w:rPr>
          <w:rFonts w:ascii="Calibri" w:hAnsi="Calibri" w:cs="Calibri"/>
        </w:rPr>
      </w:pPr>
    </w:p>
    <w:p w14:paraId="4123DC5A" w14:textId="77777777" w:rsidR="00D7560A" w:rsidRPr="00D7560A" w:rsidRDefault="00D7560A" w:rsidP="00D7560A">
      <w:pPr>
        <w:pStyle w:val="NormalWeb"/>
        <w:jc w:val="both"/>
        <w:rPr>
          <w:rFonts w:asciiTheme="minorHAnsi" w:hAnsiTheme="minorHAnsi" w:cs="Arial"/>
          <w:color w:val="000000"/>
        </w:rPr>
      </w:pPr>
      <w:r w:rsidRPr="00D7560A">
        <w:rPr>
          <w:rFonts w:asciiTheme="minorHAnsi" w:hAnsiTheme="minorHAnsi" w:cs="Arial"/>
          <w:b/>
          <w:color w:val="000000"/>
        </w:rPr>
        <w:t>PRIMERO:</w:t>
      </w:r>
      <w:r w:rsidRPr="00D7560A">
        <w:rPr>
          <w:rFonts w:asciiTheme="minorHAnsi" w:hAnsiTheme="minorHAnsi" w:cs="Arial"/>
          <w:color w:val="000000"/>
        </w:rPr>
        <w:t xml:space="preserve"> Aumentar</w:t>
      </w:r>
      <w:r>
        <w:rPr>
          <w:rFonts w:asciiTheme="minorHAnsi" w:hAnsiTheme="minorHAnsi" w:cs="Arial"/>
          <w:color w:val="000000"/>
        </w:rPr>
        <w:t xml:space="preserve"> la cuantía del Fondo de Cooperación M</w:t>
      </w:r>
      <w:r w:rsidRPr="00D7560A">
        <w:rPr>
          <w:rFonts w:asciiTheme="minorHAnsi" w:hAnsiTheme="minorHAnsi" w:cs="Arial"/>
          <w:color w:val="000000"/>
        </w:rPr>
        <w:t xml:space="preserve">unicipal recogida en los presupuestos generales de Cantabria de 2020 y por tanto la asignación correspondiente a cada ayuntamiento. </w:t>
      </w:r>
    </w:p>
    <w:p w14:paraId="17C939FF" w14:textId="77777777" w:rsidR="00976AAE" w:rsidRPr="00976AAE" w:rsidRDefault="00D7560A" w:rsidP="00976AAE">
      <w:pPr>
        <w:pStyle w:val="NormalWeb"/>
        <w:jc w:val="both"/>
        <w:rPr>
          <w:rFonts w:asciiTheme="minorHAnsi" w:hAnsiTheme="minorHAnsi" w:cs="Arial"/>
          <w:color w:val="000000"/>
        </w:rPr>
      </w:pPr>
      <w:r w:rsidRPr="00D7560A">
        <w:rPr>
          <w:rFonts w:asciiTheme="minorHAnsi" w:hAnsiTheme="minorHAnsi" w:cs="Arial"/>
          <w:b/>
          <w:color w:val="000000"/>
        </w:rPr>
        <w:t>SEGUNDO:</w:t>
      </w:r>
      <w:r w:rsidRPr="00D7560A">
        <w:rPr>
          <w:rFonts w:asciiTheme="minorHAnsi" w:hAnsiTheme="minorHAnsi" w:cs="Arial"/>
          <w:color w:val="000000"/>
        </w:rPr>
        <w:t xml:space="preserve"> </w:t>
      </w:r>
      <w:r w:rsidR="00976AAE" w:rsidRPr="00976AAE">
        <w:rPr>
          <w:rFonts w:asciiTheme="minorHAnsi" w:hAnsiTheme="minorHAnsi" w:cs="Arial"/>
          <w:color w:val="000000"/>
        </w:rPr>
        <w:t xml:space="preserve">Pagar de forma inmediata la totalidad del Fondo de Cooperación Municipal correspondiente a cada ayuntamiento. </w:t>
      </w:r>
    </w:p>
    <w:p w14:paraId="1DC2A230" w14:textId="77777777" w:rsidR="00D7560A" w:rsidRPr="00D7560A" w:rsidRDefault="00D7560A" w:rsidP="00D7560A">
      <w:pPr>
        <w:pStyle w:val="NormalWeb"/>
        <w:jc w:val="both"/>
        <w:rPr>
          <w:rFonts w:asciiTheme="minorHAnsi" w:hAnsiTheme="minorHAnsi" w:cs="Arial"/>
          <w:color w:val="000000"/>
        </w:rPr>
      </w:pPr>
      <w:r w:rsidRPr="00D7560A">
        <w:rPr>
          <w:rFonts w:asciiTheme="minorHAnsi" w:hAnsiTheme="minorHAnsi" w:cs="Arial"/>
          <w:b/>
          <w:color w:val="000000"/>
        </w:rPr>
        <w:t>TERCERO:</w:t>
      </w:r>
      <w:r w:rsidRPr="00D7560A">
        <w:rPr>
          <w:rFonts w:asciiTheme="minorHAnsi" w:hAnsiTheme="minorHAnsi" w:cs="Arial"/>
          <w:color w:val="000000"/>
        </w:rPr>
        <w:t xml:space="preserve"> Que el Gobierno de Cantabria inste al Gobierno de España a que haga los cambios legislativos y normativos pertinentes</w:t>
      </w:r>
      <w:r w:rsidR="00976AAE">
        <w:rPr>
          <w:rFonts w:asciiTheme="minorHAnsi" w:hAnsiTheme="minorHAnsi" w:cs="Arial"/>
          <w:color w:val="000000"/>
        </w:rPr>
        <w:t>,</w:t>
      </w:r>
      <w:r w:rsidRPr="00D7560A">
        <w:rPr>
          <w:rFonts w:asciiTheme="minorHAnsi" w:hAnsiTheme="minorHAnsi" w:cs="Arial"/>
          <w:color w:val="000000"/>
        </w:rPr>
        <w:t xml:space="preserve"> con el fin de que los ayuntamientos puedan destinar hasta el 100% del superávit a acciones derivadas de la lucha contra el COVID 19.</w:t>
      </w:r>
    </w:p>
    <w:p w14:paraId="4ED4C7E7" w14:textId="77777777" w:rsidR="003C07FF" w:rsidRPr="00895C82" w:rsidRDefault="003C07FF">
      <w:pPr>
        <w:jc w:val="both"/>
      </w:pPr>
    </w:p>
    <w:p w14:paraId="5405D929" w14:textId="77777777" w:rsidR="003C07FF" w:rsidRPr="00895C82" w:rsidRDefault="003C07FF">
      <w:pPr>
        <w:jc w:val="right"/>
        <w:rPr>
          <w:rFonts w:ascii="Calibri" w:hAnsi="Calibri"/>
        </w:rPr>
      </w:pPr>
    </w:p>
    <w:p w14:paraId="7F68D77A" w14:textId="77777777" w:rsidR="003C07FF" w:rsidRPr="00895C82" w:rsidRDefault="00895C82">
      <w:pPr>
        <w:jc w:val="right"/>
        <w:rPr>
          <w:rFonts w:ascii="Calibri" w:hAnsi="Calibri"/>
        </w:rPr>
      </w:pPr>
      <w:r w:rsidRPr="00895C82">
        <w:rPr>
          <w:rFonts w:ascii="Calibri" w:hAnsi="Calibri"/>
        </w:rPr>
        <w:t>En Sant</w:t>
      </w:r>
      <w:r w:rsidR="00976AAE">
        <w:rPr>
          <w:rFonts w:ascii="Calibri" w:hAnsi="Calibri"/>
        </w:rPr>
        <w:t>ander a 16</w:t>
      </w:r>
      <w:r w:rsidR="00D7560A">
        <w:rPr>
          <w:rFonts w:ascii="Calibri" w:hAnsi="Calibri"/>
        </w:rPr>
        <w:t xml:space="preserve"> de abril de 2020</w:t>
      </w:r>
    </w:p>
    <w:p w14:paraId="741F5E80" w14:textId="77777777" w:rsidR="003C07FF" w:rsidRPr="00895C82" w:rsidRDefault="003C07FF">
      <w:pPr>
        <w:jc w:val="right"/>
        <w:rPr>
          <w:rFonts w:ascii="Calibri" w:hAnsi="Calibri"/>
        </w:rPr>
      </w:pPr>
    </w:p>
    <w:p w14:paraId="72794603" w14:textId="77777777" w:rsidR="003C07FF" w:rsidRPr="00895C82" w:rsidRDefault="003C07FF">
      <w:pPr>
        <w:jc w:val="right"/>
        <w:rPr>
          <w:rFonts w:ascii="Calibri" w:hAnsi="Calibri"/>
        </w:rPr>
      </w:pPr>
    </w:p>
    <w:p w14:paraId="317FE87D" w14:textId="77777777" w:rsidR="003C07FF" w:rsidRDefault="003C07FF">
      <w:pPr>
        <w:jc w:val="right"/>
        <w:rPr>
          <w:rFonts w:ascii="Calibri" w:hAnsi="Calibri"/>
          <w:sz w:val="22"/>
        </w:rPr>
      </w:pPr>
    </w:p>
    <w:p w14:paraId="1306BF95" w14:textId="77777777" w:rsidR="003C07FF" w:rsidRDefault="003C07FF">
      <w:pPr>
        <w:jc w:val="right"/>
        <w:rPr>
          <w:rFonts w:ascii="Calibri" w:hAnsi="Calibri"/>
          <w:sz w:val="22"/>
        </w:rPr>
      </w:pPr>
    </w:p>
    <w:p w14:paraId="04F06524" w14:textId="77777777" w:rsidR="003C07FF" w:rsidRDefault="00895C82">
      <w:pPr>
        <w:pStyle w:val="Ttulo1"/>
      </w:pPr>
      <w:r>
        <w:t>Fdo. Félix Álvarez Palleiro</w:t>
      </w:r>
    </w:p>
    <w:p w14:paraId="1564B76D" w14:textId="77777777" w:rsidR="00D7560A" w:rsidRDefault="00D7560A" w:rsidP="00D7560A"/>
    <w:p w14:paraId="53DD7D8E" w14:textId="77777777" w:rsidR="00D7560A" w:rsidRPr="00D7560A" w:rsidRDefault="00D7560A" w:rsidP="00D7560A"/>
    <w:p w14:paraId="732689D3" w14:textId="77777777" w:rsidR="003C07FF" w:rsidRDefault="00895C82">
      <w:pPr>
        <w:autoSpaceDE w:val="0"/>
        <w:autoSpaceDN w:val="0"/>
        <w:adjustRightInd w:val="0"/>
        <w:spacing w:after="160"/>
        <w:jc w:val="center"/>
      </w:pPr>
      <w:r>
        <w:rPr>
          <w:rFonts w:ascii="Calibri" w:hAnsi="Calibri"/>
          <w:b/>
          <w:bCs/>
          <w:sz w:val="22"/>
        </w:rPr>
        <w:t>Portavoz del Grupo Ciudadanos</w:t>
      </w:r>
    </w:p>
    <w:sectPr w:rsidR="003C07FF" w:rsidSect="003C07FF">
      <w:type w:val="continuous"/>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F625A0E"/>
    <w:lvl w:ilvl="0">
      <w:numFmt w:val="decimal"/>
      <w:lvlText w:val="*"/>
      <w:lvlJc w:val="left"/>
    </w:lvl>
  </w:abstractNum>
  <w:abstractNum w:abstractNumId="1" w15:restartNumberingAfterBreak="0">
    <w:nsid w:val="686D75F2"/>
    <w:multiLevelType w:val="hybridMultilevel"/>
    <w:tmpl w:val="19203FF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71470FBF"/>
    <w:multiLevelType w:val="hybridMultilevel"/>
    <w:tmpl w:val="E7C639CC"/>
    <w:lvl w:ilvl="0" w:tplc="FEB61F1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11"/>
    <w:rsid w:val="00052811"/>
    <w:rsid w:val="003C07FF"/>
    <w:rsid w:val="00403FBE"/>
    <w:rsid w:val="00883811"/>
    <w:rsid w:val="00895C82"/>
    <w:rsid w:val="00976AAE"/>
    <w:rsid w:val="00A01FA5"/>
    <w:rsid w:val="00D756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34585"/>
  <w15:docId w15:val="{A53DE2C4-6E97-441F-B52A-C172F8F1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7FF"/>
    <w:rPr>
      <w:sz w:val="24"/>
      <w:szCs w:val="24"/>
    </w:rPr>
  </w:style>
  <w:style w:type="paragraph" w:styleId="Ttulo1">
    <w:name w:val="heading 1"/>
    <w:basedOn w:val="Normal"/>
    <w:next w:val="Normal"/>
    <w:qFormat/>
    <w:rsid w:val="003C07FF"/>
    <w:pPr>
      <w:keepNext/>
      <w:autoSpaceDE w:val="0"/>
      <w:autoSpaceDN w:val="0"/>
      <w:adjustRightInd w:val="0"/>
      <w:spacing w:after="160" w:line="259" w:lineRule="atLeast"/>
      <w:jc w:val="center"/>
      <w:outlineLvl w:val="0"/>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3C07FF"/>
    <w:pPr>
      <w:autoSpaceDE w:val="0"/>
      <w:autoSpaceDN w:val="0"/>
      <w:adjustRightInd w:val="0"/>
      <w:spacing w:after="160" w:line="259" w:lineRule="atLeast"/>
      <w:ind w:firstLine="708"/>
      <w:jc w:val="both"/>
    </w:pPr>
    <w:rPr>
      <w:rFonts w:ascii="Calibri" w:hAnsi="Calibri"/>
      <w:sz w:val="22"/>
      <w:szCs w:val="22"/>
    </w:rPr>
  </w:style>
  <w:style w:type="paragraph" w:styleId="Textoindependiente">
    <w:name w:val="Body Text"/>
    <w:basedOn w:val="Normal"/>
    <w:semiHidden/>
    <w:rsid w:val="003C07FF"/>
    <w:pPr>
      <w:jc w:val="both"/>
    </w:pPr>
    <w:rPr>
      <w:rFonts w:ascii="Calibri" w:hAnsi="Calibri" w:cs="Calibri"/>
    </w:rPr>
  </w:style>
  <w:style w:type="paragraph" w:styleId="NormalWeb">
    <w:name w:val="Normal (Web)"/>
    <w:basedOn w:val="Normal"/>
    <w:semiHidden/>
    <w:rsid w:val="00D7560A"/>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3556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lpstr>
    </vt:vector>
  </TitlesOfParts>
  <Company>Parlamento de Cantabria</Company>
  <LinksUpToDate>false</LinksUpToDate>
  <CharactersWithSpaces>4194</CharactersWithSpaces>
  <SharedDoc>false</SharedDoc>
  <HLinks>
    <vt:vector size="12" baseType="variant">
      <vt:variant>
        <vt:i4>5636129</vt:i4>
      </vt:variant>
      <vt:variant>
        <vt:i4>1024</vt:i4>
      </vt:variant>
      <vt:variant>
        <vt:i4>1025</vt:i4>
      </vt:variant>
      <vt:variant>
        <vt:i4>1</vt:i4>
      </vt:variant>
      <vt:variant>
        <vt:lpwstr>..\logo cs parlamento (2).PNG</vt:lpwstr>
      </vt:variant>
      <vt:variant>
        <vt:lpwstr/>
      </vt:variant>
      <vt:variant>
        <vt:i4>917630</vt:i4>
      </vt:variant>
      <vt:variant>
        <vt:i4>1027</vt:i4>
      </vt:variant>
      <vt:variant>
        <vt:i4>1026</vt:i4>
      </vt:variant>
      <vt:variant>
        <vt:i4>1</vt:i4>
      </vt:variant>
      <vt:variant>
        <vt:lpwstr>C:\Users\ruben_g\Desktop\Logo Parlamento.PNG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Rubén Gómez</dc:creator>
  <cp:keywords/>
  <dc:description/>
  <cp:lastModifiedBy>María San Emetrio</cp:lastModifiedBy>
  <cp:revision>2</cp:revision>
  <cp:lastPrinted>2017-02-28T11:46:00Z</cp:lastPrinted>
  <dcterms:created xsi:type="dcterms:W3CDTF">2020-04-16T09:13:00Z</dcterms:created>
  <dcterms:modified xsi:type="dcterms:W3CDTF">2020-04-16T09:13:00Z</dcterms:modified>
</cp:coreProperties>
</file>